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E38C7" w:rsidRPr="00CE38C7" w:rsidRDefault="00CE38C7" w:rsidP="00CE38C7">
      <w:r w:rsidRPr="00CE38C7">
        <w:rPr>
          <w:b/>
          <w:bCs/>
        </w:rPr>
        <w:t>Analysis of Police and Homicide Data in Detroit (1961-1973)</w:t>
      </w:r>
    </w:p>
    <w:p w:rsidR="00CE38C7" w:rsidRPr="00CE38C7" w:rsidRDefault="00CE38C7" w:rsidP="00CE38C7"/>
    <w:p w:rsidR="00CE38C7" w:rsidRPr="00CE38C7" w:rsidRDefault="00CE38C7" w:rsidP="00CE38C7">
      <w:r w:rsidRPr="00CE38C7">
        <w:t>This document presents an analysis of the number of full-time police officers per 100,000 citizens and the number of homicides per 100,000 citizens in Detroit, Michigan, from 1961 to 1973. The goal is to construct a time series graph of these variables, calculate the percentage increase for each, and evaluate the potential impact of increased police presence on homicide rates.</w:t>
      </w:r>
    </w:p>
    <w:p w:rsidR="00CE38C7" w:rsidRPr="00CE38C7" w:rsidRDefault="00CE38C7" w:rsidP="00CE38C7"/>
    <w:p w:rsidR="00CE38C7" w:rsidRPr="00CE38C7" w:rsidRDefault="00CE38C7" w:rsidP="00CE38C7">
      <w:pPr>
        <w:rPr>
          <w:b/>
          <w:bCs/>
        </w:rPr>
      </w:pPr>
      <w:r w:rsidRPr="00CE38C7">
        <w:rPr>
          <w:b/>
          <w:bCs/>
        </w:rPr>
        <w:t>Data Summary</w:t>
      </w:r>
    </w:p>
    <w:p w:rsidR="00CE38C7" w:rsidRPr="00CE38C7" w:rsidRDefault="00CE38C7" w:rsidP="00CE38C7">
      <w:r w:rsidRPr="00CE38C7">
        <w:t>The dataset includes the following values: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66"/>
        <w:gridCol w:w="2022"/>
        <w:gridCol w:w="2502"/>
      </w:tblGrid>
      <w:tr w:rsidR="00CE38C7" w:rsidRPr="00CE38C7" w:rsidTr="00CE38C7">
        <w:trPr>
          <w:tblHeader/>
          <w:tblCellSpacing w:w="15" w:type="dxa"/>
        </w:trPr>
        <w:tc>
          <w:tcPr>
            <w:tcW w:w="0" w:type="auto"/>
            <w:vAlign w:val="center"/>
            <w:hideMark/>
          </w:tcPr>
          <w:p w:rsidR="00CE38C7" w:rsidRPr="00CE38C7" w:rsidRDefault="00CE38C7" w:rsidP="00CE38C7">
            <w:pPr>
              <w:rPr>
                <w:b/>
                <w:bCs/>
              </w:rPr>
            </w:pPr>
            <w:r w:rsidRPr="00CE38C7">
              <w:rPr>
                <w:b/>
                <w:bCs/>
              </w:rPr>
              <w:t>Year</w:t>
            </w:r>
          </w:p>
        </w:tc>
        <w:tc>
          <w:tcPr>
            <w:tcW w:w="0" w:type="auto"/>
            <w:vAlign w:val="center"/>
            <w:hideMark/>
          </w:tcPr>
          <w:p w:rsidR="00CE38C7" w:rsidRPr="00CE38C7" w:rsidRDefault="00CE38C7" w:rsidP="00CE38C7">
            <w:pPr>
              <w:rPr>
                <w:b/>
                <w:bCs/>
              </w:rPr>
            </w:pPr>
            <w:r w:rsidRPr="00CE38C7">
              <w:rPr>
                <w:b/>
                <w:bCs/>
              </w:rPr>
              <w:t>Police (per 100,000)</w:t>
            </w:r>
          </w:p>
        </w:tc>
        <w:tc>
          <w:tcPr>
            <w:tcW w:w="0" w:type="auto"/>
            <w:vAlign w:val="center"/>
            <w:hideMark/>
          </w:tcPr>
          <w:p w:rsidR="00CE38C7" w:rsidRPr="00CE38C7" w:rsidRDefault="00CE38C7" w:rsidP="00CE38C7">
            <w:pPr>
              <w:rPr>
                <w:b/>
                <w:bCs/>
              </w:rPr>
            </w:pPr>
            <w:r w:rsidRPr="00CE38C7">
              <w:rPr>
                <w:b/>
                <w:bCs/>
              </w:rPr>
              <w:t>Homicides (per 100,000)</w:t>
            </w:r>
          </w:p>
        </w:tc>
      </w:tr>
      <w:tr w:rsidR="00CE38C7" w:rsidRPr="00CE38C7" w:rsidTr="00CE38C7">
        <w:trPr>
          <w:tblCellSpacing w:w="15" w:type="dxa"/>
        </w:trPr>
        <w:tc>
          <w:tcPr>
            <w:tcW w:w="0" w:type="auto"/>
            <w:vAlign w:val="center"/>
            <w:hideMark/>
          </w:tcPr>
          <w:p w:rsidR="00CE38C7" w:rsidRPr="00CE38C7" w:rsidRDefault="00CE38C7" w:rsidP="00CE38C7">
            <w:r w:rsidRPr="00CE38C7">
              <w:t>1961</w:t>
            </w:r>
          </w:p>
        </w:tc>
        <w:tc>
          <w:tcPr>
            <w:tcW w:w="0" w:type="auto"/>
            <w:vAlign w:val="center"/>
            <w:hideMark/>
          </w:tcPr>
          <w:p w:rsidR="00CE38C7" w:rsidRPr="00CE38C7" w:rsidRDefault="00CE38C7" w:rsidP="00CE38C7">
            <w:r w:rsidRPr="00CE38C7">
              <w:t>260.35</w:t>
            </w:r>
          </w:p>
        </w:tc>
        <w:tc>
          <w:tcPr>
            <w:tcW w:w="0" w:type="auto"/>
            <w:vAlign w:val="center"/>
            <w:hideMark/>
          </w:tcPr>
          <w:p w:rsidR="00CE38C7" w:rsidRPr="00CE38C7" w:rsidRDefault="00CE38C7" w:rsidP="00CE38C7">
            <w:r w:rsidRPr="00CE38C7">
              <w:t>8.6</w:t>
            </w:r>
          </w:p>
        </w:tc>
      </w:tr>
      <w:tr w:rsidR="00CE38C7" w:rsidRPr="00CE38C7" w:rsidTr="00CE38C7">
        <w:trPr>
          <w:tblCellSpacing w:w="15" w:type="dxa"/>
        </w:trPr>
        <w:tc>
          <w:tcPr>
            <w:tcW w:w="0" w:type="auto"/>
            <w:vAlign w:val="center"/>
            <w:hideMark/>
          </w:tcPr>
          <w:p w:rsidR="00CE38C7" w:rsidRPr="00CE38C7" w:rsidRDefault="00CE38C7" w:rsidP="00CE38C7">
            <w:r w:rsidRPr="00CE38C7">
              <w:t>1962</w:t>
            </w:r>
          </w:p>
        </w:tc>
        <w:tc>
          <w:tcPr>
            <w:tcW w:w="0" w:type="auto"/>
            <w:vAlign w:val="center"/>
            <w:hideMark/>
          </w:tcPr>
          <w:p w:rsidR="00CE38C7" w:rsidRPr="00CE38C7" w:rsidRDefault="00CE38C7" w:rsidP="00CE38C7">
            <w:r w:rsidRPr="00CE38C7">
              <w:t>269.8</w:t>
            </w:r>
          </w:p>
        </w:tc>
        <w:tc>
          <w:tcPr>
            <w:tcW w:w="0" w:type="auto"/>
            <w:vAlign w:val="center"/>
            <w:hideMark/>
          </w:tcPr>
          <w:p w:rsidR="00CE38C7" w:rsidRPr="00CE38C7" w:rsidRDefault="00CE38C7" w:rsidP="00CE38C7">
            <w:r w:rsidRPr="00CE38C7">
              <w:t>8.9</w:t>
            </w:r>
          </w:p>
        </w:tc>
      </w:tr>
      <w:tr w:rsidR="00CE38C7" w:rsidRPr="00CE38C7" w:rsidTr="00CE38C7">
        <w:trPr>
          <w:tblCellSpacing w:w="15" w:type="dxa"/>
        </w:trPr>
        <w:tc>
          <w:tcPr>
            <w:tcW w:w="0" w:type="auto"/>
            <w:vAlign w:val="center"/>
            <w:hideMark/>
          </w:tcPr>
          <w:p w:rsidR="00CE38C7" w:rsidRPr="00CE38C7" w:rsidRDefault="00CE38C7" w:rsidP="00CE38C7">
            <w:r w:rsidRPr="00CE38C7">
              <w:t>1963</w:t>
            </w:r>
          </w:p>
        </w:tc>
        <w:tc>
          <w:tcPr>
            <w:tcW w:w="0" w:type="auto"/>
            <w:vAlign w:val="center"/>
            <w:hideMark/>
          </w:tcPr>
          <w:p w:rsidR="00CE38C7" w:rsidRPr="00CE38C7" w:rsidRDefault="00CE38C7" w:rsidP="00CE38C7">
            <w:r w:rsidRPr="00CE38C7">
              <w:t>272.04</w:t>
            </w:r>
          </w:p>
        </w:tc>
        <w:tc>
          <w:tcPr>
            <w:tcW w:w="0" w:type="auto"/>
            <w:vAlign w:val="center"/>
            <w:hideMark/>
          </w:tcPr>
          <w:p w:rsidR="00CE38C7" w:rsidRPr="00CE38C7" w:rsidRDefault="00CE38C7" w:rsidP="00CE38C7">
            <w:r w:rsidRPr="00CE38C7">
              <w:t>8.52</w:t>
            </w:r>
          </w:p>
        </w:tc>
      </w:tr>
      <w:tr w:rsidR="00CE38C7" w:rsidRPr="00CE38C7" w:rsidTr="00CE38C7">
        <w:trPr>
          <w:tblCellSpacing w:w="15" w:type="dxa"/>
        </w:trPr>
        <w:tc>
          <w:tcPr>
            <w:tcW w:w="0" w:type="auto"/>
            <w:vAlign w:val="center"/>
            <w:hideMark/>
          </w:tcPr>
          <w:p w:rsidR="00CE38C7" w:rsidRPr="00CE38C7" w:rsidRDefault="00CE38C7" w:rsidP="00CE38C7">
            <w:r w:rsidRPr="00CE38C7">
              <w:t>1964</w:t>
            </w:r>
          </w:p>
        </w:tc>
        <w:tc>
          <w:tcPr>
            <w:tcW w:w="0" w:type="auto"/>
            <w:vAlign w:val="center"/>
            <w:hideMark/>
          </w:tcPr>
          <w:p w:rsidR="00CE38C7" w:rsidRPr="00CE38C7" w:rsidRDefault="00CE38C7" w:rsidP="00CE38C7">
            <w:r w:rsidRPr="00CE38C7">
              <w:t>272.96</w:t>
            </w:r>
          </w:p>
        </w:tc>
        <w:tc>
          <w:tcPr>
            <w:tcW w:w="0" w:type="auto"/>
            <w:vAlign w:val="center"/>
            <w:hideMark/>
          </w:tcPr>
          <w:p w:rsidR="00CE38C7" w:rsidRPr="00CE38C7" w:rsidRDefault="00CE38C7" w:rsidP="00CE38C7">
            <w:r w:rsidRPr="00CE38C7">
              <w:t>8.89</w:t>
            </w:r>
          </w:p>
        </w:tc>
      </w:tr>
      <w:tr w:rsidR="00CE38C7" w:rsidRPr="00CE38C7" w:rsidTr="00CE38C7">
        <w:trPr>
          <w:tblCellSpacing w:w="15" w:type="dxa"/>
        </w:trPr>
        <w:tc>
          <w:tcPr>
            <w:tcW w:w="0" w:type="auto"/>
            <w:vAlign w:val="center"/>
            <w:hideMark/>
          </w:tcPr>
          <w:p w:rsidR="00CE38C7" w:rsidRPr="00CE38C7" w:rsidRDefault="00CE38C7" w:rsidP="00CE38C7">
            <w:r w:rsidRPr="00CE38C7">
              <w:t>1965</w:t>
            </w:r>
          </w:p>
        </w:tc>
        <w:tc>
          <w:tcPr>
            <w:tcW w:w="0" w:type="auto"/>
            <w:vAlign w:val="center"/>
            <w:hideMark/>
          </w:tcPr>
          <w:p w:rsidR="00CE38C7" w:rsidRPr="00CE38C7" w:rsidRDefault="00CE38C7" w:rsidP="00CE38C7">
            <w:r w:rsidRPr="00CE38C7">
              <w:t>272.51</w:t>
            </w:r>
          </w:p>
        </w:tc>
        <w:tc>
          <w:tcPr>
            <w:tcW w:w="0" w:type="auto"/>
            <w:vAlign w:val="center"/>
            <w:hideMark/>
          </w:tcPr>
          <w:p w:rsidR="00CE38C7" w:rsidRPr="00CE38C7" w:rsidRDefault="00CE38C7" w:rsidP="00CE38C7">
            <w:r w:rsidRPr="00CE38C7">
              <w:t>13.07</w:t>
            </w:r>
          </w:p>
        </w:tc>
      </w:tr>
      <w:tr w:rsidR="00CE38C7" w:rsidRPr="00CE38C7" w:rsidTr="00CE38C7">
        <w:trPr>
          <w:tblCellSpacing w:w="15" w:type="dxa"/>
        </w:trPr>
        <w:tc>
          <w:tcPr>
            <w:tcW w:w="0" w:type="auto"/>
            <w:vAlign w:val="center"/>
            <w:hideMark/>
          </w:tcPr>
          <w:p w:rsidR="00CE38C7" w:rsidRPr="00CE38C7" w:rsidRDefault="00CE38C7" w:rsidP="00CE38C7">
            <w:r w:rsidRPr="00CE38C7">
              <w:t>1966</w:t>
            </w:r>
          </w:p>
        </w:tc>
        <w:tc>
          <w:tcPr>
            <w:tcW w:w="0" w:type="auto"/>
            <w:vAlign w:val="center"/>
            <w:hideMark/>
          </w:tcPr>
          <w:p w:rsidR="00CE38C7" w:rsidRPr="00CE38C7" w:rsidRDefault="00CE38C7" w:rsidP="00CE38C7">
            <w:r w:rsidRPr="00CE38C7">
              <w:t>261.34</w:t>
            </w:r>
          </w:p>
        </w:tc>
        <w:tc>
          <w:tcPr>
            <w:tcW w:w="0" w:type="auto"/>
            <w:vAlign w:val="center"/>
            <w:hideMark/>
          </w:tcPr>
          <w:p w:rsidR="00CE38C7" w:rsidRPr="00CE38C7" w:rsidRDefault="00CE38C7" w:rsidP="00CE38C7">
            <w:r w:rsidRPr="00CE38C7">
              <w:t>14.57</w:t>
            </w:r>
          </w:p>
        </w:tc>
      </w:tr>
      <w:tr w:rsidR="00CE38C7" w:rsidRPr="00CE38C7" w:rsidTr="00CE38C7">
        <w:trPr>
          <w:tblCellSpacing w:w="15" w:type="dxa"/>
        </w:trPr>
        <w:tc>
          <w:tcPr>
            <w:tcW w:w="0" w:type="auto"/>
            <w:vAlign w:val="center"/>
            <w:hideMark/>
          </w:tcPr>
          <w:p w:rsidR="00CE38C7" w:rsidRPr="00CE38C7" w:rsidRDefault="00CE38C7" w:rsidP="00CE38C7">
            <w:r w:rsidRPr="00CE38C7">
              <w:t>1967</w:t>
            </w:r>
          </w:p>
        </w:tc>
        <w:tc>
          <w:tcPr>
            <w:tcW w:w="0" w:type="auto"/>
            <w:vAlign w:val="center"/>
            <w:hideMark/>
          </w:tcPr>
          <w:p w:rsidR="00CE38C7" w:rsidRPr="00CE38C7" w:rsidRDefault="00CE38C7" w:rsidP="00CE38C7">
            <w:r w:rsidRPr="00CE38C7">
              <w:t>268.89</w:t>
            </w:r>
          </w:p>
        </w:tc>
        <w:tc>
          <w:tcPr>
            <w:tcW w:w="0" w:type="auto"/>
            <w:vAlign w:val="center"/>
            <w:hideMark/>
          </w:tcPr>
          <w:p w:rsidR="00CE38C7" w:rsidRPr="00CE38C7" w:rsidRDefault="00CE38C7" w:rsidP="00CE38C7">
            <w:r w:rsidRPr="00CE38C7">
              <w:t>21.36</w:t>
            </w:r>
          </w:p>
        </w:tc>
      </w:tr>
      <w:tr w:rsidR="00CE38C7" w:rsidRPr="00CE38C7" w:rsidTr="00CE38C7">
        <w:trPr>
          <w:tblCellSpacing w:w="15" w:type="dxa"/>
        </w:trPr>
        <w:tc>
          <w:tcPr>
            <w:tcW w:w="0" w:type="auto"/>
            <w:vAlign w:val="center"/>
            <w:hideMark/>
          </w:tcPr>
          <w:p w:rsidR="00CE38C7" w:rsidRPr="00CE38C7" w:rsidRDefault="00CE38C7" w:rsidP="00CE38C7">
            <w:r w:rsidRPr="00CE38C7">
              <w:t>1968</w:t>
            </w:r>
          </w:p>
        </w:tc>
        <w:tc>
          <w:tcPr>
            <w:tcW w:w="0" w:type="auto"/>
            <w:vAlign w:val="center"/>
            <w:hideMark/>
          </w:tcPr>
          <w:p w:rsidR="00CE38C7" w:rsidRPr="00CE38C7" w:rsidRDefault="00CE38C7" w:rsidP="00CE38C7">
            <w:r w:rsidRPr="00CE38C7">
              <w:t>295.99</w:t>
            </w:r>
          </w:p>
        </w:tc>
        <w:tc>
          <w:tcPr>
            <w:tcW w:w="0" w:type="auto"/>
            <w:vAlign w:val="center"/>
            <w:hideMark/>
          </w:tcPr>
          <w:p w:rsidR="00CE38C7" w:rsidRPr="00CE38C7" w:rsidRDefault="00CE38C7" w:rsidP="00CE38C7">
            <w:r w:rsidRPr="00CE38C7">
              <w:t>28.03</w:t>
            </w:r>
          </w:p>
        </w:tc>
      </w:tr>
      <w:tr w:rsidR="00CE38C7" w:rsidRPr="00CE38C7" w:rsidTr="00CE38C7">
        <w:trPr>
          <w:tblCellSpacing w:w="15" w:type="dxa"/>
        </w:trPr>
        <w:tc>
          <w:tcPr>
            <w:tcW w:w="0" w:type="auto"/>
            <w:vAlign w:val="center"/>
            <w:hideMark/>
          </w:tcPr>
          <w:p w:rsidR="00CE38C7" w:rsidRPr="00CE38C7" w:rsidRDefault="00CE38C7" w:rsidP="00CE38C7">
            <w:r w:rsidRPr="00CE38C7">
              <w:t>1969</w:t>
            </w:r>
          </w:p>
        </w:tc>
        <w:tc>
          <w:tcPr>
            <w:tcW w:w="0" w:type="auto"/>
            <w:vAlign w:val="center"/>
            <w:hideMark/>
          </w:tcPr>
          <w:p w:rsidR="00CE38C7" w:rsidRPr="00CE38C7" w:rsidRDefault="00CE38C7" w:rsidP="00CE38C7">
            <w:r w:rsidRPr="00CE38C7">
              <w:t>319.87</w:t>
            </w:r>
          </w:p>
        </w:tc>
        <w:tc>
          <w:tcPr>
            <w:tcW w:w="0" w:type="auto"/>
            <w:vAlign w:val="center"/>
            <w:hideMark/>
          </w:tcPr>
          <w:p w:rsidR="00CE38C7" w:rsidRPr="00CE38C7" w:rsidRDefault="00CE38C7" w:rsidP="00CE38C7">
            <w:r w:rsidRPr="00CE38C7">
              <w:t>31.49</w:t>
            </w:r>
          </w:p>
        </w:tc>
      </w:tr>
      <w:tr w:rsidR="00CE38C7" w:rsidRPr="00CE38C7" w:rsidTr="00CE38C7">
        <w:trPr>
          <w:tblCellSpacing w:w="15" w:type="dxa"/>
        </w:trPr>
        <w:tc>
          <w:tcPr>
            <w:tcW w:w="0" w:type="auto"/>
            <w:vAlign w:val="center"/>
            <w:hideMark/>
          </w:tcPr>
          <w:p w:rsidR="00CE38C7" w:rsidRPr="00CE38C7" w:rsidRDefault="00CE38C7" w:rsidP="00CE38C7">
            <w:r w:rsidRPr="00CE38C7">
              <w:t>1970</w:t>
            </w:r>
          </w:p>
        </w:tc>
        <w:tc>
          <w:tcPr>
            <w:tcW w:w="0" w:type="auto"/>
            <w:vAlign w:val="center"/>
            <w:hideMark/>
          </w:tcPr>
          <w:p w:rsidR="00CE38C7" w:rsidRPr="00CE38C7" w:rsidRDefault="00CE38C7" w:rsidP="00CE38C7">
            <w:r w:rsidRPr="00CE38C7">
              <w:t>341.43</w:t>
            </w:r>
          </w:p>
        </w:tc>
        <w:tc>
          <w:tcPr>
            <w:tcW w:w="0" w:type="auto"/>
            <w:vAlign w:val="center"/>
            <w:hideMark/>
          </w:tcPr>
          <w:p w:rsidR="00CE38C7" w:rsidRPr="00CE38C7" w:rsidRDefault="00CE38C7" w:rsidP="00CE38C7">
            <w:r w:rsidRPr="00CE38C7">
              <w:t>37.39</w:t>
            </w:r>
          </w:p>
        </w:tc>
      </w:tr>
      <w:tr w:rsidR="00CE38C7" w:rsidRPr="00CE38C7" w:rsidTr="00CE38C7">
        <w:trPr>
          <w:tblCellSpacing w:w="15" w:type="dxa"/>
        </w:trPr>
        <w:tc>
          <w:tcPr>
            <w:tcW w:w="0" w:type="auto"/>
            <w:vAlign w:val="center"/>
            <w:hideMark/>
          </w:tcPr>
          <w:p w:rsidR="00CE38C7" w:rsidRPr="00CE38C7" w:rsidRDefault="00CE38C7" w:rsidP="00CE38C7">
            <w:r w:rsidRPr="00CE38C7">
              <w:t>1971</w:t>
            </w:r>
          </w:p>
        </w:tc>
        <w:tc>
          <w:tcPr>
            <w:tcW w:w="0" w:type="auto"/>
            <w:vAlign w:val="center"/>
            <w:hideMark/>
          </w:tcPr>
          <w:p w:rsidR="00CE38C7" w:rsidRPr="00CE38C7" w:rsidRDefault="00CE38C7" w:rsidP="00CE38C7">
            <w:r w:rsidRPr="00CE38C7">
              <w:t>356.59</w:t>
            </w:r>
          </w:p>
        </w:tc>
        <w:tc>
          <w:tcPr>
            <w:tcW w:w="0" w:type="auto"/>
            <w:vAlign w:val="center"/>
            <w:hideMark/>
          </w:tcPr>
          <w:p w:rsidR="00CE38C7" w:rsidRPr="00CE38C7" w:rsidRDefault="00CE38C7" w:rsidP="00CE38C7">
            <w:r w:rsidRPr="00CE38C7">
              <w:t>46.26</w:t>
            </w:r>
          </w:p>
        </w:tc>
      </w:tr>
      <w:tr w:rsidR="00CE38C7" w:rsidRPr="00CE38C7" w:rsidTr="00CE38C7">
        <w:trPr>
          <w:tblCellSpacing w:w="15" w:type="dxa"/>
        </w:trPr>
        <w:tc>
          <w:tcPr>
            <w:tcW w:w="0" w:type="auto"/>
            <w:vAlign w:val="center"/>
            <w:hideMark/>
          </w:tcPr>
          <w:p w:rsidR="00CE38C7" w:rsidRPr="00CE38C7" w:rsidRDefault="00CE38C7" w:rsidP="00CE38C7">
            <w:r w:rsidRPr="00CE38C7">
              <w:t>1972</w:t>
            </w:r>
          </w:p>
        </w:tc>
        <w:tc>
          <w:tcPr>
            <w:tcW w:w="0" w:type="auto"/>
            <w:vAlign w:val="center"/>
            <w:hideMark/>
          </w:tcPr>
          <w:p w:rsidR="00CE38C7" w:rsidRPr="00CE38C7" w:rsidRDefault="00CE38C7" w:rsidP="00CE38C7">
            <w:r w:rsidRPr="00CE38C7">
              <w:t>376.69</w:t>
            </w:r>
          </w:p>
        </w:tc>
        <w:tc>
          <w:tcPr>
            <w:tcW w:w="0" w:type="auto"/>
            <w:vAlign w:val="center"/>
            <w:hideMark/>
          </w:tcPr>
          <w:p w:rsidR="00CE38C7" w:rsidRPr="00CE38C7" w:rsidRDefault="00CE38C7" w:rsidP="00CE38C7">
            <w:r w:rsidRPr="00CE38C7">
              <w:t>47.24</w:t>
            </w:r>
          </w:p>
        </w:tc>
      </w:tr>
      <w:tr w:rsidR="00CE38C7" w:rsidRPr="00CE38C7" w:rsidTr="00CE38C7">
        <w:trPr>
          <w:tblCellSpacing w:w="15" w:type="dxa"/>
        </w:trPr>
        <w:tc>
          <w:tcPr>
            <w:tcW w:w="0" w:type="auto"/>
            <w:vAlign w:val="center"/>
            <w:hideMark/>
          </w:tcPr>
          <w:p w:rsidR="00CE38C7" w:rsidRPr="00CE38C7" w:rsidRDefault="00CE38C7" w:rsidP="00CE38C7">
            <w:r w:rsidRPr="00CE38C7">
              <w:t>1973</w:t>
            </w:r>
          </w:p>
        </w:tc>
        <w:tc>
          <w:tcPr>
            <w:tcW w:w="0" w:type="auto"/>
            <w:vAlign w:val="center"/>
            <w:hideMark/>
          </w:tcPr>
          <w:p w:rsidR="00CE38C7" w:rsidRPr="00CE38C7" w:rsidRDefault="00CE38C7" w:rsidP="00CE38C7">
            <w:r w:rsidRPr="00CE38C7">
              <w:t>390.19</w:t>
            </w:r>
          </w:p>
        </w:tc>
        <w:tc>
          <w:tcPr>
            <w:tcW w:w="0" w:type="auto"/>
            <w:vAlign w:val="center"/>
            <w:hideMark/>
          </w:tcPr>
          <w:p w:rsidR="00CE38C7" w:rsidRPr="00CE38C7" w:rsidRDefault="00CE38C7" w:rsidP="00CE38C7">
            <w:r w:rsidRPr="00CE38C7">
              <w:t>52.33</w:t>
            </w:r>
          </w:p>
        </w:tc>
      </w:tr>
    </w:tbl>
    <w:p w:rsidR="00CE38C7" w:rsidRPr="00CE38C7" w:rsidRDefault="00CE38C7" w:rsidP="00CE38C7"/>
    <w:p w:rsidR="00D77895" w:rsidRDefault="00D77895" w:rsidP="00CE38C7">
      <w:pPr>
        <w:rPr>
          <w:b/>
          <w:bCs/>
          <w:lang w:val="en-US"/>
        </w:rPr>
      </w:pPr>
    </w:p>
    <w:p w:rsidR="00D77895" w:rsidRDefault="00D77895" w:rsidP="00CE38C7">
      <w:pPr>
        <w:rPr>
          <w:b/>
          <w:bCs/>
          <w:lang w:val="en-US"/>
        </w:rPr>
      </w:pPr>
    </w:p>
    <w:p w:rsidR="00D77895" w:rsidRDefault="00D77895" w:rsidP="00CE38C7">
      <w:pPr>
        <w:rPr>
          <w:b/>
          <w:bCs/>
          <w:lang w:val="en-US"/>
        </w:rPr>
      </w:pPr>
    </w:p>
    <w:p w:rsidR="00D77895" w:rsidRDefault="00D77895" w:rsidP="00CE38C7">
      <w:pPr>
        <w:rPr>
          <w:b/>
          <w:bCs/>
          <w:lang w:val="en-US"/>
        </w:rPr>
      </w:pPr>
    </w:p>
    <w:p w:rsidR="00D77895" w:rsidRDefault="00D77895" w:rsidP="00CE38C7">
      <w:pPr>
        <w:rPr>
          <w:b/>
          <w:bCs/>
          <w:lang w:val="en-US"/>
        </w:rPr>
      </w:pPr>
    </w:p>
    <w:p w:rsidR="00CE38C7" w:rsidRPr="00CE38C7" w:rsidRDefault="00CE38C7" w:rsidP="00CE38C7">
      <w:pPr>
        <w:rPr>
          <w:b/>
          <w:bCs/>
        </w:rPr>
      </w:pPr>
      <w:r w:rsidRPr="00CE38C7">
        <w:rPr>
          <w:b/>
          <w:bCs/>
        </w:rPr>
        <w:lastRenderedPageBreak/>
        <w:t>Time Series Graph</w:t>
      </w:r>
    </w:p>
    <w:p w:rsidR="00CE38C7" w:rsidRDefault="00CE38C7" w:rsidP="00CE38C7">
      <w:pPr>
        <w:rPr>
          <w:lang w:val="en-US"/>
        </w:rPr>
      </w:pPr>
      <w:r w:rsidRPr="00CE38C7">
        <w:t>The graph below displays the number of full-time police officers per 100,000 citizens and the number of homicides per 100,000 citizens in Detroit from 1961 to 1973. The x-axis represents the years, and the y-axes represent the number of police officers and homicides, respectively</w:t>
      </w:r>
      <w:r w:rsidR="00D77895">
        <w:rPr>
          <w:lang w:val="en-US"/>
        </w:rPr>
        <w:t>.</w:t>
      </w:r>
    </w:p>
    <w:p w:rsidR="00D77895" w:rsidRPr="00CE38C7" w:rsidRDefault="00D77895" w:rsidP="00CE38C7">
      <w:pPr>
        <w:rPr>
          <w:lang w:val="en-US"/>
        </w:rPr>
      </w:pPr>
      <w:r>
        <w:rPr>
          <w:noProof/>
          <w:lang w:val="en-US"/>
        </w:rPr>
        <w:drawing>
          <wp:inline distT="0" distB="0" distL="0" distR="0">
            <wp:extent cx="5731510" cy="3190875"/>
            <wp:effectExtent l="0" t="0" r="0" b="0"/>
            <wp:docPr id="618987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87630" name="Picture 618987630"/>
                    <pic:cNvPicPr/>
                  </pic:nvPicPr>
                  <pic:blipFill>
                    <a:blip r:embed="rId5">
                      <a:extLst>
                        <a:ext uri="{28A0092B-C50C-407E-A947-70E740481C1C}">
                          <a14:useLocalDpi xmlns:a14="http://schemas.microsoft.com/office/drawing/2010/main" val="0"/>
                        </a:ext>
                      </a:extLst>
                    </a:blip>
                    <a:stretch>
                      <a:fillRect/>
                    </a:stretch>
                  </pic:blipFill>
                  <pic:spPr>
                    <a:xfrm>
                      <a:off x="0" y="0"/>
                      <a:ext cx="5731510" cy="3190875"/>
                    </a:xfrm>
                    <a:prstGeom prst="rect">
                      <a:avLst/>
                    </a:prstGeom>
                  </pic:spPr>
                </pic:pic>
              </a:graphicData>
            </a:graphic>
          </wp:inline>
        </w:drawing>
      </w:r>
    </w:p>
    <w:p w:rsidR="0024748B" w:rsidRDefault="0024748B" w:rsidP="00CE38C7">
      <w:pPr>
        <w:rPr>
          <w:b/>
          <w:bCs/>
          <w:lang w:val="en-US"/>
        </w:rPr>
      </w:pPr>
    </w:p>
    <w:p w:rsidR="0024748B" w:rsidRDefault="0024748B" w:rsidP="00CE38C7">
      <w:pPr>
        <w:rPr>
          <w:b/>
          <w:bCs/>
          <w:lang w:val="en-US"/>
        </w:rPr>
      </w:pPr>
    </w:p>
    <w:p w:rsidR="00CE38C7" w:rsidRPr="00CE38C7" w:rsidRDefault="00CE38C7" w:rsidP="00CE38C7">
      <w:pPr>
        <w:rPr>
          <w:b/>
          <w:bCs/>
        </w:rPr>
      </w:pPr>
      <w:r w:rsidRPr="00CE38C7">
        <w:rPr>
          <w:b/>
          <w:bCs/>
        </w:rPr>
        <w:t>Percentage Increase Calculation</w:t>
      </w:r>
    </w:p>
    <w:p w:rsidR="00CE38C7" w:rsidRPr="00CE38C7" w:rsidRDefault="00CE38C7" w:rsidP="00CE38C7">
      <w:r w:rsidRPr="00CE38C7">
        <w:rPr>
          <w:b/>
          <w:bCs/>
        </w:rPr>
        <w:t>Police:</w:t>
      </w:r>
    </w:p>
    <w:p w:rsidR="00CE38C7" w:rsidRPr="00CE38C7" w:rsidRDefault="00CE38C7" w:rsidP="00CE38C7">
      <w:pPr>
        <w:numPr>
          <w:ilvl w:val="0"/>
          <w:numId w:val="1"/>
        </w:numPr>
      </w:pPr>
      <w:r w:rsidRPr="00CE38C7">
        <w:rPr>
          <w:b/>
          <w:bCs/>
        </w:rPr>
        <w:t>Initial Value (1961):</w:t>
      </w:r>
      <w:r w:rsidRPr="00CE38C7">
        <w:t xml:space="preserve"> 260.35</w:t>
      </w:r>
    </w:p>
    <w:p w:rsidR="00CE38C7" w:rsidRPr="00CE38C7" w:rsidRDefault="00CE38C7" w:rsidP="00CE38C7">
      <w:pPr>
        <w:numPr>
          <w:ilvl w:val="0"/>
          <w:numId w:val="1"/>
        </w:numPr>
      </w:pPr>
      <w:r w:rsidRPr="00CE38C7">
        <w:rPr>
          <w:b/>
          <w:bCs/>
        </w:rPr>
        <w:t>Final Value (1973):</w:t>
      </w:r>
      <w:r w:rsidRPr="00CE38C7">
        <w:t xml:space="preserve"> 390.19</w:t>
      </w:r>
    </w:p>
    <w:p w:rsidR="00CE38C7" w:rsidRPr="00CE38C7" w:rsidRDefault="00CE38C7" w:rsidP="00CE38C7">
      <w:r w:rsidRPr="00CE38C7">
        <w:t>Percentage Increase=</w:t>
      </w:r>
      <w:r w:rsidR="00C44371">
        <w:rPr>
          <w:lang w:val="en-US"/>
        </w:rPr>
        <w:t>(</w:t>
      </w:r>
      <w:r w:rsidRPr="00CE38C7">
        <w:t>(390.19−260.35)</w:t>
      </w:r>
      <w:r w:rsidR="00C44371">
        <w:rPr>
          <w:lang w:val="en-US"/>
        </w:rPr>
        <w:t>/260.35)</w:t>
      </w:r>
      <w:r w:rsidRPr="00CE38C7">
        <w:t>×100</w:t>
      </w:r>
      <w:r w:rsidR="00C44371">
        <w:rPr>
          <w:lang w:val="en-US"/>
        </w:rPr>
        <w:t xml:space="preserve">% = </w:t>
      </w:r>
      <w:r w:rsidRPr="00CE38C7">
        <w:t>≈</w:t>
      </w:r>
      <w:r w:rsidR="00CD0F90">
        <w:rPr>
          <w:lang w:val="en-US"/>
        </w:rPr>
        <w:t>49.87</w:t>
      </w:r>
      <w:r w:rsidRPr="00CE38C7">
        <w:t>%</w:t>
      </w:r>
    </w:p>
    <w:p w:rsidR="00CE38C7" w:rsidRPr="00CE38C7" w:rsidRDefault="00CE38C7" w:rsidP="00CE38C7">
      <w:r w:rsidRPr="00CE38C7">
        <w:rPr>
          <w:b/>
          <w:bCs/>
        </w:rPr>
        <w:t>Homicides:</w:t>
      </w:r>
    </w:p>
    <w:p w:rsidR="00CE38C7" w:rsidRPr="00CE38C7" w:rsidRDefault="00CE38C7" w:rsidP="00CE38C7">
      <w:pPr>
        <w:numPr>
          <w:ilvl w:val="0"/>
          <w:numId w:val="2"/>
        </w:numPr>
      </w:pPr>
      <w:r w:rsidRPr="00CE38C7">
        <w:rPr>
          <w:b/>
          <w:bCs/>
        </w:rPr>
        <w:t>Initial Value (1961):</w:t>
      </w:r>
      <w:r w:rsidRPr="00CE38C7">
        <w:t xml:space="preserve"> 8.6</w:t>
      </w:r>
    </w:p>
    <w:p w:rsidR="00CE38C7" w:rsidRPr="00CE38C7" w:rsidRDefault="00CE38C7" w:rsidP="00CE38C7">
      <w:pPr>
        <w:numPr>
          <w:ilvl w:val="0"/>
          <w:numId w:val="2"/>
        </w:numPr>
      </w:pPr>
      <w:r w:rsidRPr="00CE38C7">
        <w:rPr>
          <w:b/>
          <w:bCs/>
        </w:rPr>
        <w:t>Final Value (1973):</w:t>
      </w:r>
      <w:r w:rsidRPr="00CE38C7">
        <w:t xml:space="preserve"> 52.33</w:t>
      </w:r>
    </w:p>
    <w:p w:rsidR="00CE38C7" w:rsidRPr="00CE38C7" w:rsidRDefault="00CE38C7" w:rsidP="00CE38C7">
      <w:r w:rsidRPr="00CE38C7">
        <w:t>Percentage Increase=</w:t>
      </w:r>
      <w:r w:rsidR="00C44371">
        <w:rPr>
          <w:lang w:val="en-US"/>
        </w:rPr>
        <w:t>(</w:t>
      </w:r>
      <w:r w:rsidRPr="00CE38C7">
        <w:t>(52.33−8.68)</w:t>
      </w:r>
      <w:r w:rsidR="00C44371">
        <w:rPr>
          <w:lang w:val="en-US"/>
        </w:rPr>
        <w:t>/8.68)</w:t>
      </w:r>
      <w:r w:rsidRPr="00CE38C7">
        <w:t>×100</w:t>
      </w:r>
      <w:r w:rsidR="00C44371">
        <w:rPr>
          <w:lang w:val="en-US"/>
        </w:rPr>
        <w:t xml:space="preserve">% = </w:t>
      </w:r>
      <w:r w:rsidRPr="00CE38C7">
        <w:t>≈50</w:t>
      </w:r>
      <w:r w:rsidR="00CD0F90">
        <w:rPr>
          <w:lang w:val="en-US"/>
        </w:rPr>
        <w:t>2</w:t>
      </w:r>
      <w:r w:rsidRPr="00CE38C7">
        <w:t>.88%</w:t>
      </w:r>
    </w:p>
    <w:p w:rsidR="00983335" w:rsidRDefault="00983335" w:rsidP="00CE38C7">
      <w:pPr>
        <w:rPr>
          <w:b/>
          <w:bCs/>
          <w:lang w:val="en-US"/>
        </w:rPr>
      </w:pPr>
    </w:p>
    <w:p w:rsidR="00CE38C7" w:rsidRPr="00CE38C7" w:rsidRDefault="00CE38C7" w:rsidP="00CE38C7">
      <w:r w:rsidRPr="00CE38C7">
        <w:t xml:space="preserve">The homicide rate increased by approximately </w:t>
      </w:r>
      <w:r w:rsidR="00440B6E" w:rsidRPr="00CE38C7">
        <w:t>50</w:t>
      </w:r>
      <w:r w:rsidR="00440B6E">
        <w:rPr>
          <w:lang w:val="en-US"/>
        </w:rPr>
        <w:t>2</w:t>
      </w:r>
      <w:r w:rsidR="00440B6E" w:rsidRPr="00CE38C7">
        <w:t>.88%</w:t>
      </w:r>
      <w:r w:rsidRPr="00CE38C7">
        <w:t xml:space="preserve">, while the number of police officers increased by approximately </w:t>
      </w:r>
      <w:r w:rsidR="00440B6E">
        <w:rPr>
          <w:lang w:val="en-US"/>
        </w:rPr>
        <w:t>49.87</w:t>
      </w:r>
      <w:r w:rsidR="00440B6E" w:rsidRPr="00CE38C7">
        <w:t>%</w:t>
      </w:r>
      <w:r w:rsidRPr="00CE38C7">
        <w:t>. The homicide rate demonstrated a significantly higher percentage increase compared to the number of police officers (Triola, 2018).</w:t>
      </w:r>
    </w:p>
    <w:p w:rsidR="00CE38C7" w:rsidRPr="00CE38C7" w:rsidRDefault="00CE38C7" w:rsidP="00CE38C7"/>
    <w:p w:rsidR="00402271" w:rsidRDefault="00402271" w:rsidP="00CE38C7">
      <w:pPr>
        <w:rPr>
          <w:b/>
          <w:bCs/>
          <w:lang w:val="en-US"/>
        </w:rPr>
      </w:pPr>
    </w:p>
    <w:p w:rsidR="00402271" w:rsidRDefault="00402271" w:rsidP="00CE38C7">
      <w:pPr>
        <w:rPr>
          <w:b/>
          <w:bCs/>
          <w:lang w:val="en-US"/>
        </w:rPr>
      </w:pPr>
    </w:p>
    <w:p w:rsidR="00402271" w:rsidRDefault="00402271" w:rsidP="00CE38C7">
      <w:pPr>
        <w:rPr>
          <w:b/>
          <w:bCs/>
          <w:lang w:val="en-US"/>
        </w:rPr>
      </w:pPr>
    </w:p>
    <w:p w:rsidR="00CE38C7" w:rsidRPr="00CE38C7" w:rsidRDefault="00CE38C7" w:rsidP="00CE38C7">
      <w:pPr>
        <w:rPr>
          <w:b/>
          <w:bCs/>
        </w:rPr>
      </w:pPr>
      <w:r w:rsidRPr="00CE38C7">
        <w:rPr>
          <w:b/>
          <w:bCs/>
        </w:rPr>
        <w:t>Impact Analysis</w:t>
      </w:r>
    </w:p>
    <w:p w:rsidR="00CE38C7" w:rsidRPr="00CE38C7" w:rsidRDefault="00CE38C7" w:rsidP="00CE38C7">
      <w:r w:rsidRPr="00CE38C7">
        <w:t>Despite the increase in the number of police officers from 1961 to 1973, the homicide rate increased substantially during the same period. This observation suggests that the increase in police presence did not lead to a corresponding reduction in the homicide rate.</w:t>
      </w:r>
    </w:p>
    <w:p w:rsidR="00CE38C7" w:rsidRPr="00CE38C7" w:rsidRDefault="00CE38C7" w:rsidP="00CE38C7">
      <w:r w:rsidRPr="00CE38C7">
        <w:rPr>
          <w:b/>
          <w:bCs/>
        </w:rPr>
        <w:t>Possible Explanations:</w:t>
      </w:r>
    </w:p>
    <w:p w:rsidR="00CE38C7" w:rsidRPr="00CE38C7" w:rsidRDefault="00CE38C7" w:rsidP="00CE38C7">
      <w:pPr>
        <w:numPr>
          <w:ilvl w:val="0"/>
          <w:numId w:val="3"/>
        </w:numPr>
      </w:pPr>
      <w:r w:rsidRPr="00CE38C7">
        <w:rPr>
          <w:b/>
          <w:bCs/>
        </w:rPr>
        <w:t>Socioeconomic Factors:</w:t>
      </w:r>
      <w:r w:rsidRPr="00CE38C7">
        <w:t xml:space="preserve"> Changes in socioeconomic conditions, such as poverty or unemployment, may have contributed to the increase in homicides (Levitt &amp; Dubner, 2005).</w:t>
      </w:r>
    </w:p>
    <w:p w:rsidR="00CE38C7" w:rsidRPr="00CE38C7" w:rsidRDefault="00CE38C7" w:rsidP="00CE38C7">
      <w:pPr>
        <w:numPr>
          <w:ilvl w:val="0"/>
          <w:numId w:val="3"/>
        </w:numPr>
      </w:pPr>
      <w:r w:rsidRPr="00CE38C7">
        <w:rPr>
          <w:b/>
          <w:bCs/>
        </w:rPr>
        <w:t>Legislative and Social Factors:</w:t>
      </w:r>
      <w:r w:rsidRPr="00CE38C7">
        <w:t xml:space="preserve"> Changes in legislation, community relations, or other social factors might have influenced crime rates (Levitt &amp; Dubner, 2005).</w:t>
      </w:r>
    </w:p>
    <w:p w:rsidR="00CE38C7" w:rsidRPr="00CE38C7" w:rsidRDefault="00CE38C7" w:rsidP="00CE38C7">
      <w:pPr>
        <w:numPr>
          <w:ilvl w:val="0"/>
          <w:numId w:val="3"/>
        </w:numPr>
      </w:pPr>
      <w:r w:rsidRPr="00CE38C7">
        <w:rPr>
          <w:b/>
          <w:bCs/>
        </w:rPr>
        <w:t>Effectiveness of Policing:</w:t>
      </w:r>
      <w:r w:rsidRPr="00CE38C7">
        <w:t xml:space="preserve"> The effectiveness of the police force in reducing crime could be affected by various factors, including resources, training, and strategies (Levitt &amp; Dubner, 2005).</w:t>
      </w:r>
    </w:p>
    <w:p w:rsidR="00CE38C7" w:rsidRPr="00CE38C7" w:rsidRDefault="00CE38C7" w:rsidP="00CE38C7">
      <w:r w:rsidRPr="00CE38C7">
        <w:t>A comprehensive analysis would require exploring these and other factors to understand the complex relationship between police presence and crime rates better.</w:t>
      </w:r>
    </w:p>
    <w:p w:rsidR="00CE38C7" w:rsidRPr="00CE38C7" w:rsidRDefault="00CE38C7" w:rsidP="00CE38C7"/>
    <w:p w:rsidR="00CE38C7" w:rsidRPr="00CE38C7" w:rsidRDefault="00CE38C7" w:rsidP="00CE38C7">
      <w:pPr>
        <w:rPr>
          <w:b/>
          <w:bCs/>
        </w:rPr>
      </w:pPr>
      <w:r w:rsidRPr="00CE38C7">
        <w:rPr>
          <w:b/>
          <w:bCs/>
        </w:rPr>
        <w:t>References</w:t>
      </w:r>
    </w:p>
    <w:p w:rsidR="00CE38C7" w:rsidRPr="00CE38C7" w:rsidRDefault="00CE38C7" w:rsidP="00CE38C7">
      <w:pPr>
        <w:pStyle w:val="ListParagraph"/>
        <w:numPr>
          <w:ilvl w:val="0"/>
          <w:numId w:val="4"/>
        </w:numPr>
      </w:pPr>
      <w:r w:rsidRPr="00CE38C7">
        <w:t xml:space="preserve">Levitt, S. D., &amp; Dubner, S. J. (2005). </w:t>
      </w:r>
      <w:r w:rsidRPr="00CE38C7">
        <w:rPr>
          <w:i/>
          <w:iCs/>
        </w:rPr>
        <w:t>Freakonomics: A Rogue Economist Explores the Hidden Side of Everything</w:t>
      </w:r>
      <w:r w:rsidRPr="00CE38C7">
        <w:t>. William Morrow.</w:t>
      </w:r>
      <w:r w:rsidR="00402271">
        <w:rPr>
          <w:lang w:val="en-US"/>
        </w:rPr>
        <w:t xml:space="preserve"> </w:t>
      </w:r>
      <w:r w:rsidR="00402271" w:rsidRPr="00402271">
        <w:rPr>
          <w:lang w:val="en-US"/>
        </w:rPr>
        <w:t>https://psycnet.apa.org/record/2005-05399-000</w:t>
      </w:r>
    </w:p>
    <w:p w:rsidR="00CD2AB7" w:rsidRPr="00CE38C7" w:rsidRDefault="00CE38C7" w:rsidP="00CE38C7">
      <w:pPr>
        <w:pStyle w:val="ListParagraph"/>
        <w:numPr>
          <w:ilvl w:val="0"/>
          <w:numId w:val="4"/>
        </w:numPr>
        <w:rPr>
          <w:lang w:val="en-US"/>
        </w:rPr>
      </w:pPr>
      <w:r w:rsidRPr="00CE38C7">
        <w:t xml:space="preserve">Triola, M. F. (2018). </w:t>
      </w:r>
      <w:r w:rsidRPr="00CE38C7">
        <w:rPr>
          <w:i/>
          <w:iCs/>
        </w:rPr>
        <w:t>Elementary Statistics</w:t>
      </w:r>
      <w:r w:rsidRPr="00CE38C7">
        <w:t>. Pearson.</w:t>
      </w:r>
      <w:r w:rsidR="00402271">
        <w:rPr>
          <w:lang w:val="en-US"/>
        </w:rPr>
        <w:t xml:space="preserve"> </w:t>
      </w:r>
      <w:r w:rsidR="00402271" w:rsidRPr="00402271">
        <w:rPr>
          <w:lang w:val="en-US"/>
        </w:rPr>
        <w:t>https://books.google.rw/books/about/Elementary_Statistics.html?id=mn_htgEACAAJ&amp;redir_esc=y</w:t>
      </w:r>
    </w:p>
    <w:sectPr w:rsidR="00CD2AB7" w:rsidRPr="00CE3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852A7C"/>
    <w:multiLevelType w:val="multilevel"/>
    <w:tmpl w:val="04A80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4A4FFE"/>
    <w:multiLevelType w:val="hybridMultilevel"/>
    <w:tmpl w:val="ECC0317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396A50C2"/>
    <w:multiLevelType w:val="multilevel"/>
    <w:tmpl w:val="EFAC3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777460"/>
    <w:multiLevelType w:val="multilevel"/>
    <w:tmpl w:val="B2342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2266783">
    <w:abstractNumId w:val="3"/>
  </w:num>
  <w:num w:numId="2" w16cid:durableId="1889798758">
    <w:abstractNumId w:val="2"/>
  </w:num>
  <w:num w:numId="3" w16cid:durableId="1107119734">
    <w:abstractNumId w:val="0"/>
  </w:num>
  <w:num w:numId="4" w16cid:durableId="8176463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8C7"/>
    <w:rsid w:val="0024748B"/>
    <w:rsid w:val="00402271"/>
    <w:rsid w:val="00440B6E"/>
    <w:rsid w:val="00983335"/>
    <w:rsid w:val="00AE3993"/>
    <w:rsid w:val="00AE5BD6"/>
    <w:rsid w:val="00C44371"/>
    <w:rsid w:val="00CD0F90"/>
    <w:rsid w:val="00CD2AB7"/>
    <w:rsid w:val="00CE38C7"/>
    <w:rsid w:val="00D77895"/>
    <w:rsid w:val="00E4139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D56E4"/>
  <w15:chartTrackingRefBased/>
  <w15:docId w15:val="{516EA675-3654-405F-A682-A40FD932C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8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38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8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8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8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8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8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8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8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8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38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8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8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8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8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8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8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8C7"/>
    <w:rPr>
      <w:rFonts w:eastAsiaTheme="majorEastAsia" w:cstheme="majorBidi"/>
      <w:color w:val="272727" w:themeColor="text1" w:themeTint="D8"/>
    </w:rPr>
  </w:style>
  <w:style w:type="paragraph" w:styleId="Title">
    <w:name w:val="Title"/>
    <w:basedOn w:val="Normal"/>
    <w:next w:val="Normal"/>
    <w:link w:val="TitleChar"/>
    <w:uiPriority w:val="10"/>
    <w:qFormat/>
    <w:rsid w:val="00CE38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8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8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8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8C7"/>
    <w:pPr>
      <w:spacing w:before="160"/>
      <w:jc w:val="center"/>
    </w:pPr>
    <w:rPr>
      <w:i/>
      <w:iCs/>
      <w:color w:val="404040" w:themeColor="text1" w:themeTint="BF"/>
    </w:rPr>
  </w:style>
  <w:style w:type="character" w:customStyle="1" w:styleId="QuoteChar">
    <w:name w:val="Quote Char"/>
    <w:basedOn w:val="DefaultParagraphFont"/>
    <w:link w:val="Quote"/>
    <w:uiPriority w:val="29"/>
    <w:rsid w:val="00CE38C7"/>
    <w:rPr>
      <w:i/>
      <w:iCs/>
      <w:color w:val="404040" w:themeColor="text1" w:themeTint="BF"/>
    </w:rPr>
  </w:style>
  <w:style w:type="paragraph" w:styleId="ListParagraph">
    <w:name w:val="List Paragraph"/>
    <w:basedOn w:val="Normal"/>
    <w:uiPriority w:val="34"/>
    <w:qFormat/>
    <w:rsid w:val="00CE38C7"/>
    <w:pPr>
      <w:ind w:left="720"/>
      <w:contextualSpacing/>
    </w:pPr>
  </w:style>
  <w:style w:type="character" w:styleId="IntenseEmphasis">
    <w:name w:val="Intense Emphasis"/>
    <w:basedOn w:val="DefaultParagraphFont"/>
    <w:uiPriority w:val="21"/>
    <w:qFormat/>
    <w:rsid w:val="00CE38C7"/>
    <w:rPr>
      <w:i/>
      <w:iCs/>
      <w:color w:val="0F4761" w:themeColor="accent1" w:themeShade="BF"/>
    </w:rPr>
  </w:style>
  <w:style w:type="paragraph" w:styleId="IntenseQuote">
    <w:name w:val="Intense Quote"/>
    <w:basedOn w:val="Normal"/>
    <w:next w:val="Normal"/>
    <w:link w:val="IntenseQuoteChar"/>
    <w:uiPriority w:val="30"/>
    <w:qFormat/>
    <w:rsid w:val="00CE38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8C7"/>
    <w:rPr>
      <w:i/>
      <w:iCs/>
      <w:color w:val="0F4761" w:themeColor="accent1" w:themeShade="BF"/>
    </w:rPr>
  </w:style>
  <w:style w:type="character" w:styleId="IntenseReference">
    <w:name w:val="Intense Reference"/>
    <w:basedOn w:val="DefaultParagraphFont"/>
    <w:uiPriority w:val="32"/>
    <w:qFormat/>
    <w:rsid w:val="00CE38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8703265">
      <w:bodyDiv w:val="1"/>
      <w:marLeft w:val="0"/>
      <w:marRight w:val="0"/>
      <w:marTop w:val="0"/>
      <w:marBottom w:val="0"/>
      <w:divBdr>
        <w:top w:val="none" w:sz="0" w:space="0" w:color="auto"/>
        <w:left w:val="none" w:sz="0" w:space="0" w:color="auto"/>
        <w:bottom w:val="none" w:sz="0" w:space="0" w:color="auto"/>
        <w:right w:val="none" w:sz="0" w:space="0" w:color="auto"/>
      </w:divBdr>
    </w:div>
    <w:div w:id="109151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Ethane</dc:creator>
  <cp:keywords/>
  <dc:description/>
  <cp:lastModifiedBy>Tim Ethane</cp:lastModifiedBy>
  <cp:revision>8</cp:revision>
  <dcterms:created xsi:type="dcterms:W3CDTF">2024-09-18T16:58:00Z</dcterms:created>
  <dcterms:modified xsi:type="dcterms:W3CDTF">2024-09-18T17:47:00Z</dcterms:modified>
</cp:coreProperties>
</file>